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DD" w:rsidRPr="00E175F5" w:rsidRDefault="001C61DD" w:rsidP="001C61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«Вопрос – ответ» </w:t>
      </w:r>
      <w:bookmarkStart w:id="0" w:name="_GoBack"/>
      <w:bookmarkEnd w:id="0"/>
    </w:p>
    <w:p w:rsidR="001C61DD" w:rsidRPr="00E175F5" w:rsidRDefault="0095629F" w:rsidP="001C6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1C61DD"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«Газпром»</w:t>
        </w:r>
      </w:hyperlink>
      <w:r w:rsidR="001C61DD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 комплексную работу по реализации целей, поставленных руководством страны. В 2020 году компания и 67 регионов РФ подписали программы развития газоснабжения и газификации регионов РФ на новый пятилетний период — 2021–2025 годы. Финансирование со стороны </w:t>
      </w:r>
      <w:hyperlink r:id="rId6" w:tgtFrame="_blank" w:history="1">
        <w:r w:rsidR="001C61DD"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«Газпрома»</w:t>
        </w:r>
      </w:hyperlink>
      <w:r w:rsidR="001C61DD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2,9 раза выше, чем в 2016–2020 годах. Более двух третей инвестиций предназначено для сельских территорий. К 2026 году в 35 регионах РФ технически возможная сетевая газификация будет полностью завершена.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планируется завершить технически возможную сетевую газификацию регионов РФ?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соответствии с перечнем поручений Президента Российской Федерации </w:t>
      </w:r>
      <w:hyperlink r:id="rId7" w:tgtFrame="_blank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Владимира Путина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 31 мая 2020 года, в стране должно быть обеспечено поэтапное завершение газификации к 2024 году и к 2030 году, а подключение 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к газораспределительным сетям должно осуществля</w:t>
      </w:r>
      <w:r w:rsidR="006B17F7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без привлечения их средств, при использовании газа для коммунально-бытовых нужд и нахождении домовладения в границах 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газифицированного </w:t>
      </w:r>
      <w:r w:rsidR="006B17F7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уровень газификации является целевым? Почему это не 100%?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Президентом Российской Федерации </w:t>
      </w:r>
      <w:hyperlink r:id="rId8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Владимиром Путиным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9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поручение от 31.05.2020 № Пр-907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поставлена цель обеспечить поэтапное завершение газификации России к 2024 и к 2030 году. 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«дорожная карта» газификации?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tgtFrame="_blank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Правительством РФ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 30 апреля 2021 года утвержден </w:t>
      </w:r>
      <w:hyperlink r:id="rId11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План мероприятий («дорожная карта») по внедрению социально ориентированной и экономически эффективной системы газификации и газоснабжения субъектов РФ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Документ предусматривает применение принципиально новой модели 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газификации. Одно из ключевых нововведений заключается в том, что программы развития газоснабжения и газификации субъектов РФ будут разрабатываться и актуализироваться на основе региональных целевых топливно-энергетических балансов (ТЭБ). В этих ТЭБ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источников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одна новация — введение института «единого оператора газификации». Он будет строить газопроводы-отводы, ГРС, межпоселковые газопроводы и газораспределительные сети — вплоть до границ земельных участков. Это позволит выполнить поручение Президента Российской Федерации </w:t>
      </w:r>
      <w:hyperlink r:id="rId12" w:tgtFrame="_blank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Владимира Путина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прозвучавшее в его </w:t>
      </w:r>
      <w:hyperlink r:id="rId13" w:tgtFrame="_blank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Послании Федеральному Собранию от 21 апреля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 </w:t>
      </w:r>
      <w:hyperlink r:id="rId14" w:tgtFrame="_blank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Правительству Российской Федерации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совместно с органами исполнительной власти субъектов Российской Федерации, </w:t>
      </w:r>
      <w:hyperlink r:id="rId15" w:tgtFrame="_blank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ПАО «Газпром»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иными газораспределительными организациями поручено обеспечить до 2023 года в газифицированных населенных пунктах без привлечения средств населения подводку газа до границ земельных участков 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негазифицированных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домовладений, расположенных вблизи от 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газопроводов, в случае наличия соответствующей заявки, </w:t>
      </w:r>
      <w:r w:rsidR="006B17F7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увеличения пропускной способности ГРС и газораспределительных сетей срок присоединения может выходить за рамки 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17F7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года и определяться в соответствии с 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="006B17F7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газификации.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Введение института «единого оператора газификации» также позволит синхронизировать работу по сооружению объектов газификации, серьезно оптимизировать расходы на строительство, сократить время на подключение потребителей к сетям.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будут внесены изменения в нормативно-правовую базу. </w:t>
      </w:r>
      <w:hyperlink r:id="rId16" w:tgtFrame="_blank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«Газпром»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направил в органы исполнительной власти ряд предложений по совершенствованию действующего законодательства. В первую очередь, они нацелены на устранение избыточных административных барьеров при проектировании и строительстве объектов газоснабжения, что в результате должно также ускорить темпы газификации в стране.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</w:t>
      </w:r>
      <w:proofErr w:type="spellStart"/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догазификация</w:t>
      </w:r>
      <w:proofErr w:type="spellEnd"/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Догазификация — подведение газа до границ земельного участка в газифицированных населенных пунктах</w:t>
      </w:r>
      <w:r w:rsidR="006B17F7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проложены газораспределительные сети 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B17F7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транспортировка </w:t>
      </w:r>
      <w:proofErr w:type="gramStart"/>
      <w:r w:rsidR="006B17F7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7F7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proofErr w:type="gram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средств граждан в соответствии с </w:t>
      </w:r>
      <w:hyperlink r:id="rId17" w:tgtFrame="_blank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поручением Президента РФ Владимира Путина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подключение 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газоиспользующего оборудования 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газораспределения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Каковы параметры </w:t>
      </w:r>
      <w:proofErr w:type="spellStart"/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догазификации</w:t>
      </w:r>
      <w:proofErr w:type="spellEnd"/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Параметры указаны в п. 2 </w:t>
      </w:r>
      <w:hyperlink r:id="rId18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Плана мероприятий («дорожная карта») по внедрению социально ориентированной и экономически эффективной системы газификации и газоснабжения субъектов РФ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Согласно 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лану, предполагается, что бесплатное подключение будет осуществляться там, </w:t>
      </w:r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6B17F7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проложены газораспределительные сети и осуществляется транспортировка газа,</w:t>
      </w:r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домовладения и земельные участки под ними зарегистрированы в установленном порядке и принадлежат физическому лицу.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ООО «Газпром межрегионгаз» совместно с регионами РФ завершен сбор информации о потенциальном объеме 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план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графики </w:t>
      </w:r>
      <w:proofErr w:type="spellStart"/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сроки выполнения работ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1DD" w:rsidRPr="00E175F5" w:rsidRDefault="004635FE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технологического присоединения домовладений будут определяться в соответствии с 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Программой газификации на основании 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ов-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отсутствии заявителя в план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графике  сроки 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определены 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равилами 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(т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ехнологического присоединения</w:t>
      </w:r>
      <w:r w:rsidR="00045F26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утвержденными постановлением Правительства РФ от 13.09.2021 № 1547.</w:t>
      </w:r>
    </w:p>
    <w:p w:rsidR="00045F26" w:rsidRPr="00E175F5" w:rsidRDefault="00045F26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чем разница между газификацией и </w:t>
      </w:r>
      <w:proofErr w:type="spellStart"/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догазификацией</w:t>
      </w:r>
      <w:proofErr w:type="spellEnd"/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Догазификация распространяется на бесплатное подключение индивидуальных жилых домов</w:t>
      </w:r>
      <w:r w:rsidR="00FE6BD0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(домов блокированной застройки)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внутрипоселковые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сети, и требуется, как правило, достроить газопроводы до границ земельных участков, на которых расположены такие дома.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Газификация же касается, во-первых, не только граждан, но и бизнеса, которые должны платить за это, во-вторых, газификация предполагает строительство магистральных и (или) межпоселковых газопроводов, 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газопроводов, а уже потом строительство газопровода до границ земельных участков заявителей.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ЕОГ и РОГ?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Единый оператор газификации (ЕОГ) – единый центр ответственности по вопросам газификации и по обеспечению бесплатного подключения домовладений к сетям газораспределения.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ЕОГа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топливно-энергетические балансы (ТЭБ)? Почему меня это должно заботить?</w:t>
      </w:r>
    </w:p>
    <w:p w:rsidR="001C61DD" w:rsidRPr="00E175F5" w:rsidRDefault="001C61DD" w:rsidP="001C6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1C61DD" w:rsidRPr="00E175F5" w:rsidRDefault="001C61DD" w:rsidP="001C6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узнать в какую программу Вы попадаете?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если у Вас есть документы, подтверждающие права собственности на земельный участок и на индивидуальный жилой дом, расположенный </w:t>
      </w:r>
      <w:proofErr w:type="gram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газифицированном</w:t>
      </w:r>
      <w:proofErr w:type="gramEnd"/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населенном пункте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попадете в программу 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Поэтому сначала необходимо оформить право собственности на земельный участок и дом, а уже после подать заявку на 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догазификацию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Дома, которые расположены в 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негазифицированных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пунктах, </w:t>
      </w:r>
      <w:r w:rsidR="00FE6BD0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подлежат включению в программу </w:t>
      </w:r>
      <w:proofErr w:type="spellStart"/>
      <w:r w:rsidR="00FE6BD0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="00FE6BD0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как, в первую очередь, необходимо газифицировать населенный пункт, в которых они расположены. Такие населенные пункты 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попадают в региональную программу газификации, в целях создания условий для газификации </w:t>
      </w:r>
      <w:r w:rsidR="00FE6BD0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 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средств граждан.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 стоимость подключения будет по-прежнему регулироваться государством.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 обращаться для подключения предприятия или домовладения к действующему газопроводу?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первую очередь, необходимо обратиться в </w:t>
      </w:r>
      <w:hyperlink r:id="rId19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газораспределительную организацию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предоставит </w:t>
      </w:r>
      <w:r w:rsidR="00FE6BD0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договора о подключении с приложением 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</w:t>
      </w:r>
      <w:r w:rsidR="00FE6BD0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FE6BD0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BD0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подготовку сети </w:t>
      </w:r>
      <w:proofErr w:type="spellStart"/>
      <w:r w:rsidR="00FE6BD0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же компания может составить проект газификации и выполнить монтажные работы. Установкой и обслуживанием внутридомового газового оборудования занимается </w:t>
      </w:r>
      <w:hyperlink r:id="rId20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газораспределительная организация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подать заявку можно через портал единого оператора газификации на сайте </w:t>
      </w:r>
      <w:proofErr w:type="spellStart"/>
      <w:r w:rsidR="006E6E8C" w:rsidRPr="00E1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connectgas</w:t>
      </w:r>
      <w:proofErr w:type="spellEnd"/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E6E8C" w:rsidRPr="00E1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мне нужно сделать, чтобы получить газ?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 </w:t>
      </w:r>
      <w:proofErr w:type="spellStart"/>
      <w:r w:rsidR="00375895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"https://www.gosuslugi.ru/" </w:instrText>
      </w:r>
      <w:r w:rsidR="00375895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175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Госуслуг</w:t>
      </w:r>
      <w:proofErr w:type="spellEnd"/>
      <w:r w:rsidR="00375895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или с помощью портала единого оператора газификации </w:t>
      </w:r>
      <w:proofErr w:type="spellStart"/>
      <w:r w:rsidR="006E6E8C" w:rsidRPr="00E1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connectgas</w:t>
      </w:r>
      <w:proofErr w:type="spellEnd"/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E6E8C" w:rsidRPr="00E1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подать заявку на </w:t>
      </w:r>
      <w:proofErr w:type="spellStart"/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догазификацию</w:t>
      </w:r>
      <w:proofErr w:type="spellEnd"/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 </w:t>
      </w:r>
    </w:p>
    <w:p w:rsidR="001C61DD" w:rsidRPr="00E175F5" w:rsidRDefault="001C61DD" w:rsidP="001C61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обращаться?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 </w:t>
      </w:r>
      <w:proofErr w:type="spellStart"/>
      <w:r w:rsidR="00375895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"https://www.gosuslugi.ru/" </w:instrText>
      </w:r>
      <w:r w:rsidR="00375895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175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Госуслуг</w:t>
      </w:r>
      <w:proofErr w:type="spellEnd"/>
      <w:r w:rsidR="00375895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или единого оператора газификации – </w:t>
      </w:r>
      <w:proofErr w:type="gramStart"/>
      <w:r w:rsidR="00B55F8C" w:rsidRPr="00E175F5">
        <w:rPr>
          <w:lang w:val="en-US"/>
        </w:rPr>
        <w:t>CONNECTGAS</w:t>
      </w:r>
      <w:r w:rsidR="00B55F8C" w:rsidRPr="00E175F5">
        <w:t>.</w:t>
      </w:r>
      <w:r w:rsidR="00B55F8C" w:rsidRPr="00E175F5">
        <w:rPr>
          <w:lang w:val="en-US"/>
        </w:rPr>
        <w:t>RU</w:t>
      </w:r>
      <w:r w:rsidR="00B55F8C" w:rsidRPr="00E175F5">
        <w:t xml:space="preserve"> 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нужны?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 и индивидуальный жилой дом, ситуационный план, паспорт, СНИЛС</w:t>
      </w:r>
      <w:r w:rsidR="00E614D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контактные данные. На </w:t>
      </w:r>
      <w:hyperlink r:id="rId21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сайтах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офисах </w:t>
      </w:r>
      <w:hyperlink r:id="rId22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газораспределительных организаций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будет доступна типовая форма заявки, с описью необходимых документов.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критерии для соответствия </w:t>
      </w:r>
      <w:proofErr w:type="spellStart"/>
      <w:r w:rsidRPr="00E1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догазификации</w:t>
      </w:r>
      <w:proofErr w:type="spellEnd"/>
      <w:r w:rsidRPr="00E1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ваш индивидуальный жилой дом</w:t>
      </w:r>
      <w:r w:rsidR="00E614D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 блокированной застройки)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газификации (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я подал заявку в марте или мае я попадаю под бесплатную </w:t>
      </w:r>
      <w:proofErr w:type="spellStart"/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догазификацию</w:t>
      </w:r>
      <w:proofErr w:type="spellEnd"/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Условия бесплатной 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на случаи подачи заявки и заключения договора, о подключении начиная с 21 апреля 2021 года. Так, если договор о подключении заключен после 21 апреля 2021 года, оплата Вами была осуществлена,</w:t>
      </w:r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подписан акт </w:t>
      </w:r>
      <w:proofErr w:type="gramStart"/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ТП ,</w:t>
      </w:r>
      <w:proofErr w:type="gramEnd"/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Вы можете обратиться в </w:t>
      </w:r>
      <w:hyperlink r:id="rId23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газораспределительную организацию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</w:t>
      </w:r>
      <w:r w:rsidR="00E614D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договора о подключении может быть скорректирован.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если договор о подключении заключен до 21 апреля 2021 года возврат уплаченных (полностью или частично) денежных средств </w:t>
      </w:r>
      <w:hyperlink r:id="rId24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газораспределительной организацией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осуществляется. Вместе с тем Вы имеете право расторгнуть договор о подключении</w:t>
      </w:r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компенсаци</w:t>
      </w:r>
      <w:r w:rsidR="00E614D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понесенных расходов ГРО</w:t>
      </w:r>
      <w:r w:rsidR="00E614D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вносить оставш</w:t>
      </w:r>
      <w:r w:rsidR="00E614D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часть платы и подать заявку на бесплатную 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догазификацию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Могут ли мне отказать после того как я подал заявку?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Могут, если Вы представите не полный комплект документов или данные будут заполнены некорректно.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негазифицированном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населенном пункте.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стоит «бесплатная газификация»?</w:t>
      </w:r>
    </w:p>
    <w:p w:rsidR="001C61DD" w:rsidRPr="00E175F5" w:rsidRDefault="001C61DD" w:rsidP="001C61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стоит подключение до (границы земельного участка)?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Вы физическое лицо, имеющее на праве собственности или ином законном основании индивидуальный жилой дом в границах газифицированного населенного пункта 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то стоимость технологического присоединения для вас равно нулю.</w:t>
      </w:r>
    </w:p>
    <w:p w:rsidR="001C61DD" w:rsidRPr="00E175F5" w:rsidRDefault="001C61DD" w:rsidP="001C61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стоит провести газ внутри участка?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 </w:t>
      </w:r>
      <w:hyperlink r:id="rId25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газораспределительной организации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стоимость таких услуг регулируется государством</w:t>
      </w:r>
      <w:r w:rsidR="00E614D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4D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воспользоваться сторонней организацией, то услуги оказываются на договорной основе.</w:t>
      </w:r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предварительного расчета стоимости выполнения работ внутри земельного участка Вы можете воспользоваться калькулятором на сайте </w:t>
      </w:r>
      <w:proofErr w:type="spellStart"/>
      <w:r w:rsidR="006E6E8C" w:rsidRPr="00E1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connectgas</w:t>
      </w:r>
      <w:proofErr w:type="spellEnd"/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E6E8C" w:rsidRPr="00E1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C61DD" w:rsidRPr="00E175F5" w:rsidRDefault="001C61DD" w:rsidP="001C61D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внутридомовое газовое оборудование?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 </w:t>
      </w:r>
      <w:hyperlink r:id="rId26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Газораспределительные организации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помогут </w:t>
      </w:r>
      <w:r w:rsidR="006E6E8C"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</w:t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будет стоить газ? Есть ли скрытые платежи за пользование газом?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пищеприготовление</w:t>
      </w:r>
      <w:proofErr w:type="spellEnd"/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горячее водоснабжение, отопление).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Вырастет ли тариф?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 тарифов проходит только в соответствие с инфляцией, дополнительного увеличения, в связи с подключением, для граждан не будет.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избежать обмана при подключении? </w:t>
      </w:r>
    </w:p>
    <w:p w:rsidR="001C61DD" w:rsidRPr="00E175F5" w:rsidRDefault="001C61DD" w:rsidP="001C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сегодняшний день подключение (технологическое присоединение) осуществляют только </w:t>
      </w:r>
      <w:hyperlink r:id="rId27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газораспределительные организации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 которых регулируется государством. В случае нарушения </w:t>
      </w:r>
      <w:hyperlink r:id="rId28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газораспределительными</w:t>
        </w:r>
        <w:r w:rsidR="00E614DC"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организациями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условий договора о подключении либо получения необоснованного отказа в подключении целесообразно обращаться в </w:t>
      </w:r>
      <w:hyperlink r:id="rId29" w:history="1">
        <w:r w:rsidRPr="00E175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Федеральную антимонопольную службу</w:t>
        </w:r>
      </w:hyperlink>
      <w:r w:rsidRPr="00E1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A84" w:rsidRPr="00E175F5" w:rsidRDefault="00E32A84" w:rsidP="001C61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2A84" w:rsidRPr="00E175F5" w:rsidSect="0037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801"/>
    <w:multiLevelType w:val="multilevel"/>
    <w:tmpl w:val="37B6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12630"/>
    <w:multiLevelType w:val="multilevel"/>
    <w:tmpl w:val="5188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1405E"/>
    <w:multiLevelType w:val="multilevel"/>
    <w:tmpl w:val="288E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86FF7"/>
    <w:multiLevelType w:val="multilevel"/>
    <w:tmpl w:val="71DE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61F5A"/>
    <w:multiLevelType w:val="multilevel"/>
    <w:tmpl w:val="EB02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41015"/>
    <w:multiLevelType w:val="multilevel"/>
    <w:tmpl w:val="733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C61DD"/>
    <w:rsid w:val="00045F26"/>
    <w:rsid w:val="00186333"/>
    <w:rsid w:val="001C61DD"/>
    <w:rsid w:val="00375895"/>
    <w:rsid w:val="004635FE"/>
    <w:rsid w:val="006B17F7"/>
    <w:rsid w:val="006E6E8C"/>
    <w:rsid w:val="0095629F"/>
    <w:rsid w:val="00B55F8C"/>
    <w:rsid w:val="00E04B97"/>
    <w:rsid w:val="00E175F5"/>
    <w:rsid w:val="00E32A84"/>
    <w:rsid w:val="00E614DC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90727-32B0-492D-8AC3-CB5974D5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61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2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1244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1692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05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53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763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5984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3777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95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33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8321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2502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911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237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0726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20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71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2345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268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3608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704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3856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5215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715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11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4943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1813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74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53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7460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8387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67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035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2124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12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0575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6932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319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6879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4413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4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8744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6649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213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62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5248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6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8529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6778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819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0428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749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152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061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41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7131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713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00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695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297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8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56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294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5653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10078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30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1046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9211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157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4352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56312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tin.kremlin.ru/bio/page-0" TargetMode="External"/><Relationship Id="rId13" Type="http://schemas.openxmlformats.org/officeDocument/2006/relationships/hyperlink" Target="http://kremlin.ru/events/president/news/65418" TargetMode="External"/><Relationship Id="rId18" Type="http://schemas.openxmlformats.org/officeDocument/2006/relationships/hyperlink" Target="http://static.government.ru/media/files/Ibz3fGAUPzurpw0NfFkPmIGmzQhun3Ku.pdf" TargetMode="External"/><Relationship Id="rId26" Type="http://schemas.openxmlformats.org/officeDocument/2006/relationships/hyperlink" Target="https://gazoraspredelenie.gazprom.ru/about/organiz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azoraspredelenie.gazprom.ru/about/organization/" TargetMode="External"/><Relationship Id="rId7" Type="http://schemas.openxmlformats.org/officeDocument/2006/relationships/hyperlink" Target="http://putin.kremlin.ru/bio/page-0" TargetMode="External"/><Relationship Id="rId12" Type="http://schemas.openxmlformats.org/officeDocument/2006/relationships/hyperlink" Target="http://putin.kremlin.ru/bio/page-0" TargetMode="External"/><Relationship Id="rId17" Type="http://schemas.openxmlformats.org/officeDocument/2006/relationships/hyperlink" Target="http://www.kremlin.ru/acts/assignments/orders/65524" TargetMode="External"/><Relationship Id="rId25" Type="http://schemas.openxmlformats.org/officeDocument/2006/relationships/hyperlink" Target="https://gazoraspredelenie.gazprom.ru/about/organiz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zprom.ru/" TargetMode="External"/><Relationship Id="rId20" Type="http://schemas.openxmlformats.org/officeDocument/2006/relationships/hyperlink" Target="https://gazoraspredelenie.gazprom.ru/about/organization/" TargetMode="External"/><Relationship Id="rId29" Type="http://schemas.openxmlformats.org/officeDocument/2006/relationships/hyperlink" Target="https://fas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zprom.ru/" TargetMode="External"/><Relationship Id="rId11" Type="http://schemas.openxmlformats.org/officeDocument/2006/relationships/hyperlink" Target="http://static.government.ru/media/files/Ibz3fGAUPzurpw0NfFkPmIGmzQhun3Ku.pdf" TargetMode="External"/><Relationship Id="rId24" Type="http://schemas.openxmlformats.org/officeDocument/2006/relationships/hyperlink" Target="https://gazoraspredelenie.gazprom.ru/about/organization/" TargetMode="External"/><Relationship Id="rId5" Type="http://schemas.openxmlformats.org/officeDocument/2006/relationships/hyperlink" Target="https://www.gazprom.ru/" TargetMode="External"/><Relationship Id="rId15" Type="http://schemas.openxmlformats.org/officeDocument/2006/relationships/hyperlink" Target="https://www.gazprom.ru/" TargetMode="External"/><Relationship Id="rId23" Type="http://schemas.openxmlformats.org/officeDocument/2006/relationships/hyperlink" Target="https://gazoraspredelenie.gazprom.ru/about/organization/" TargetMode="External"/><Relationship Id="rId28" Type="http://schemas.openxmlformats.org/officeDocument/2006/relationships/hyperlink" Target="https://gazoraspredelenie.gazprom.ru/about/organization/" TargetMode="External"/><Relationship Id="rId10" Type="http://schemas.openxmlformats.org/officeDocument/2006/relationships/hyperlink" Target="http://government.ru/" TargetMode="External"/><Relationship Id="rId19" Type="http://schemas.openxmlformats.org/officeDocument/2006/relationships/hyperlink" Target="https://gazoraspredelenie.gazprom.ru/about/organization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assignments/orders/63454" TargetMode="External"/><Relationship Id="rId14" Type="http://schemas.openxmlformats.org/officeDocument/2006/relationships/hyperlink" Target="http://government.ru/" TargetMode="External"/><Relationship Id="rId22" Type="http://schemas.openxmlformats.org/officeDocument/2006/relationships/hyperlink" Target="https://gazoraspredelenie.gazprom.ru/about/organization/" TargetMode="External"/><Relationship Id="rId27" Type="http://schemas.openxmlformats.org/officeDocument/2006/relationships/hyperlink" Target="https://gazoraspredelenie.gazprom.ru/about/organizatio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Белева Анастасия Михайловна</dc:creator>
  <cp:lastModifiedBy>Бдайциева Людмила Анатольевна</cp:lastModifiedBy>
  <cp:revision>9</cp:revision>
  <dcterms:created xsi:type="dcterms:W3CDTF">2021-09-29T15:08:00Z</dcterms:created>
  <dcterms:modified xsi:type="dcterms:W3CDTF">2021-10-05T07:32:00Z</dcterms:modified>
</cp:coreProperties>
</file>